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　蛋白质的结构与功能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1.组成体内蛋白质的 20 种氨基酸的分类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非极性疏水性氨基酸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甘氨酸、丙氨酸、缬氨酸、亮氨酸、异亮氨酸、苯丙氨酸、脯氨酸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极性中性氨基酸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色氨酸、丝氨酸、酪氨酸、半胱氨酸、蛋氨酸、天冬氨酸、谷氨酰胺、苏氨酸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酸性氨基酸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天冬氨酸、谷氨酸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碱性氨基酸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赖氨酸、精氨酸、组氨酸</w:t>
            </w:r>
          </w:p>
        </w:tc>
      </w:tr>
    </w:tbl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firstLine="420" w:firstLineChars="0"/>
        <w:rPr>
          <w:sz w:val="28"/>
          <w:szCs w:val="28"/>
        </w:rPr>
      </w:pPr>
      <w:r>
        <w:rPr>
          <w:sz w:val="28"/>
          <w:szCs w:val="28"/>
        </w:rPr>
        <w:t>氨基酸的其他分类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必需氨基酸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缬氨酸、异亮氨酸、亮氨酸、苯丙氨酸、蛋氨酸、色氨酸、苏氨酸、赖氨酸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支链氨基酸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缬氨酸、异亮氨酸、亮氨酸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一碳单位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丝氨酸、色氨酸、组氨酸、甘氨酸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含硫氨基酸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半胱氨酸、胱氨酸、蛋氨酸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生酮氨基酸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亮氨酸、赖氨酸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生糖兼生酮氨基酸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</w:rPr>
              <w:t>异亮氨酸、苯丙氨酸、酪氨酸、色氨酸、苏氨酸</w:t>
            </w:r>
          </w:p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pStyle w:val="5"/>
        <w:keepNext w:val="0"/>
        <w:keepLines w:val="0"/>
        <w:widowControl/>
        <w:numPr>
          <w:numId w:val="0"/>
        </w:numPr>
        <w:suppressLineNumbers w:val="0"/>
        <w:ind w:right="0" w:rightChars="0"/>
        <w:rPr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3.蛋白质的基本单位是氨基酸。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2　核酸的结构与功能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1.核酸是以核苷酸为基本组成单位的生物信息大分子，携带和传递遗传信息。 天然存在的核酸分为脱氧核糖核酸(DNA)和核糖核酸(RNA)两大类。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2.核酸的嘌呤环和嘧啶环的最大吸收峰在 260 nm 附近。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3　酶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1.酶促反应的特点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(1)高度特异性(专一性):①绝对专一性;②相对专一性。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(2)高度催化效率。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(3)不稳定性。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(4)酶的活性与酶量具有可调节性。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2.当酶处于某一 pH 时，其活性最大，此 pH 称为酶的最适 pH。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4　糖代谢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1.糖酵解反应过程有三种关键酶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(1)己糖激酶。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(2)磷酸果糖激酶-1。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(3)丙酮酸激酶。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2.三羧酸循环三种关键酶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(1)柠檬酸合酶。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(2)异柠檬酸脱氢酶。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(3)α-酮戊二酸脱氢酶复合体。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3.肝和骨骼肌是储存糖原的主要器官。 肝糖原是血糖的重要来源，而肌糖原主要为肌收缩提供急需的能量。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4.6-磷酸葡萄糖脱氢酶:此酶的先天性缺乏会导致溶血性黄疸(蚕豆病)。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5.正常血糖水平 3.89~6.11 mmol/ L，空腹血糖≥7.0 mmol/ L 为高血糖，空腹血糖低于 2.8 mmol/ L 为低血糖。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6.胰岛素是唯一降低血糖的激素。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5　生物氧化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1.两类呼吸链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(1)NADH 氧化呼吸链具有 3 个 ATP 生成部位。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(2)FADH 氧化呼吸链具有 2 个 ATP 生成部位。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2.电子传递过程中释放的能量使 ADP 磷酸化是 ATP 生成的主要方式。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8820E"/>
    <w:multiLevelType w:val="singleLevel"/>
    <w:tmpl w:val="5A38820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279428D1"/>
    <w:rsid w:val="2DFC5FBC"/>
    <w:rsid w:val="33AB1A5E"/>
    <w:rsid w:val="3B8064B4"/>
    <w:rsid w:val="40DE1750"/>
    <w:rsid w:val="41024A57"/>
    <w:rsid w:val="4BBA02F3"/>
    <w:rsid w:val="4DB56E60"/>
    <w:rsid w:val="66D25C14"/>
    <w:rsid w:val="68767F41"/>
    <w:rsid w:val="6BA56793"/>
    <w:rsid w:val="73DC2906"/>
    <w:rsid w:val="7CC14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2017-12-19T03:08:55Z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